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LI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ZETH MEDINA MORALES</w:t>
      </w:r>
    </w:p>
    <w:p>
      <w:pPr>
        <w:pStyle w:val="Normal"/>
        <w:spacing w:lineRule="auto" w:line="240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Enfermera Preescolar y Primaria</w:t>
      </w:r>
    </w:p>
    <w:p>
      <w:pPr>
        <w:pStyle w:val="Normal"/>
        <w:spacing w:lineRule="auto" w:line="240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Colegio Americano</w:t>
      </w:r>
    </w:p>
    <w:p>
      <w:pPr>
        <w:pStyle w:val="Normal"/>
        <w:spacing w:lineRule="auto" w:line="240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Carrera 89 # 4C- 35 / Barrio Meléndez – Comuna 18</w:t>
      </w:r>
    </w:p>
    <w:p>
      <w:pPr>
        <w:pStyle w:val="Normal"/>
        <w:spacing w:lineRule="auto" w:line="240"/>
        <w:jc w:val="both"/>
        <w:rPr/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enfermeriapreescolara5@colamer.edu.co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petición_ El establecimiento IGLESIA PRESBITERIANA CUMBERLAND- requiere información sobre los reportes que deben realizar las Instituciones Educativas privadas frente a casos de dengue.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No.202441450100064602,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es importante resaltar que de acuerdo a la Ley 9 de 1979, que es la norma marco de las acciones de carácter sanitario que contribuyen en la preservación, restauración y mejoramiento de las condiciones sanitarias relacionadas con la salud humana, donde se establecen las normas generales para los productos, servicios y establecimientos objetos de inspección y vigilancia, así como los procedimientos y medidas sanitarias que se debe aplicar para su control (artículos 198 y 207) y a la Resolución 1229 de 2013 “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u w:val="none"/>
        </w:rPr>
        <w:t>Por la cual se establece el modelo de inspección, vigilancia y control sanitario para los productos de uso y consumo humano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”; donde se define que los “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u w:val="none"/>
        </w:rPr>
        <w:t xml:space="preserve">Sujetos de inspección, vigilancia y control sanitario son las personas naturales y jurídicas, organizaciones e instituciones obligadas a proteger la salud pública y garantizar la seguridad sanitaria a través de su desempeño…”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(artículo 4), los establecimientos deben aplicar las medidas preventivas y/o correctivas si es el caso, con el fin de cumplir con las condiciones higiénico sanitarias; lo cual incluye el componente integral de vectores.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ffect w:val="none"/>
          <w:shd w:fill="FFFFFF" w:val="clear"/>
          <w:em w:val="none"/>
          <w:lang w:bidi="ar-SA"/>
        </w:rPr>
        <w:t xml:space="preserve">Sin embargo,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ffect w:val="none"/>
          <w:shd w:fill="FFFFFF" w:val="clear"/>
          <w:em w:val="none"/>
          <w:lang w:bidi="ar-SA"/>
        </w:rPr>
        <w:t xml:space="preserve">la Secretaría de Salud del Distrito Especial de Santiago de Cali, realiza seguimiento a la notificación de casos de dengue en toda la ciudad, para  programar acciones de control pertinentes según la situación epidemiológica identificada.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Si a pesar de lo anterior</w:t>
      </w:r>
      <w:r>
        <w:rPr>
          <w:rFonts w:cs="Arial" w:ascii="Arial" w:hAnsi="Arial"/>
        </w:rPr>
        <w:t xml:space="preserve">, </w:t>
      </w:r>
      <w:r>
        <w:rPr>
          <w:rFonts w:cs="Arial" w:ascii="Arial" w:hAnsi="Arial"/>
        </w:rPr>
        <w:t xml:space="preserve">se </w:t>
      </w:r>
      <w:r>
        <w:rPr>
          <w:rFonts w:cs="Arial" w:ascii="Arial" w:hAnsi="Arial"/>
        </w:rPr>
        <w:t>llega</w:t>
      </w:r>
      <w:r>
        <w:rPr>
          <w:rFonts w:cs="Arial" w:ascii="Arial" w:hAnsi="Arial"/>
        </w:rPr>
        <w:t xml:space="preserve">n </w:t>
      </w:r>
      <w:r>
        <w:rPr>
          <w:rFonts w:cs="Arial" w:ascii="Arial" w:hAnsi="Arial"/>
        </w:rPr>
        <w:t>a presentar en la institución educativa caso</w:t>
      </w:r>
      <w:r>
        <w:rPr>
          <w:rFonts w:cs="Arial" w:ascii="Arial" w:hAnsi="Arial"/>
        </w:rPr>
        <w:t>s</w:t>
      </w:r>
      <w:r>
        <w:rPr>
          <w:rFonts w:cs="Arial" w:ascii="Arial" w:hAnsi="Arial"/>
        </w:rPr>
        <w:t xml:space="preserve"> de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 xml:space="preserve"> estudiante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>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>u otra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>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 xml:space="preserve"> persona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>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 xml:space="preserve"> del plantel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>con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 xml:space="preserve"> síntomas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tales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>como: fiebre, dolor en articulaciones y en músculos, dolor de cabeza, brotes en la piel, es de vital importancia que la persona “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alumno”,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NO se automedique, se hidrate bien y guarde reposo. Si los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>signos anteriores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>persisten y ademas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 presenta uno o más de los siguientes síntomas, debe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 xml:space="preserve">acudir de inmediato a un Centro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>de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 xml:space="preserve"> Salud, para que reciba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>atención médica de carácter urgente: vómito, dolor abdominal, diarrea, sangrado por mucosas (boca o nariz), irritabilidad o somnolencia.</w:t>
      </w:r>
    </w:p>
    <w:p>
      <w:pPr>
        <w:pStyle w:val="Normal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Es importante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recordar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que la mejor manera de controlar la transmisión es evitar criaderos del vector 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u w:val="none"/>
        </w:rPr>
        <w:t>Aedes aegypti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, </w:t>
      </w:r>
      <w:r>
        <w:rPr>
          <w:rFonts w:eastAsia="Arial" w:cs="Arial"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por lo tanto se debe: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/>
      </w:r>
    </w:p>
    <w:p>
      <w:pPr>
        <w:pStyle w:val="Cuerpodetexto"/>
        <w:widowControl w:val="false"/>
        <w:suppressAutoHyphens w:val="true"/>
        <w:bidi w:val="0"/>
        <w:spacing w:lineRule="auto" w:line="240" w:before="57" w:after="57"/>
        <w:ind w:left="624" w:right="85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</w:rPr>
        <w:t>1. Inspeccionar semanalmente las Sedes Educativas para eliminar depósitos con agua almacenada o estancada por más de siete (7) días en el lugar, donde se pueda reproducir el vector.</w:t>
      </w:r>
    </w:p>
    <w:p>
      <w:pPr>
        <w:pStyle w:val="Cuerpodetexto"/>
        <w:widowControl w:val="false"/>
        <w:suppressAutoHyphens w:val="true"/>
        <w:bidi w:val="0"/>
        <w:spacing w:lineRule="auto" w:line="240" w:before="57" w:after="57"/>
        <w:ind w:left="624" w:right="850" w:hanging="0"/>
        <w:jc w:val="both"/>
        <w:rPr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effect w:val="none"/>
          <w:shd w:fill="auto" w:val="clear"/>
        </w:rPr>
      </w:pPr>
      <w:r>
        <w:rPr>
          <w:rFonts w:ascii="Arial" w:hAnsi="Arial"/>
          <w:sz w:val="24"/>
          <w:szCs w:val="24"/>
        </w:rPr>
      </w:r>
    </w:p>
    <w:p>
      <w:pPr>
        <w:pStyle w:val="Cuerpodetexto"/>
        <w:widowControl w:val="false"/>
        <w:suppressAutoHyphens w:val="true"/>
        <w:bidi w:val="0"/>
        <w:spacing w:lineRule="auto" w:line="240" w:before="57" w:after="57"/>
        <w:ind w:left="624" w:right="907" w:hanging="0"/>
        <w:jc w:val="both"/>
        <w:rPr>
          <w:rFonts w:ascii="Arial" w:hAnsi="Arial" w:eastAsia="Arial Unicode MS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2. Realizar control físico (reparación, modificación del diseño) en los sitios donde se pueda acumular agua, como son canales y canaletas de desagüe, depresiones del terreno, jardines, lavabos, etc.</w:t>
      </w:r>
    </w:p>
    <w:p>
      <w:pPr>
        <w:pStyle w:val="Cuerpodetexto"/>
        <w:widowControl w:val="false"/>
        <w:suppressAutoHyphens w:val="true"/>
        <w:bidi w:val="0"/>
        <w:spacing w:lineRule="auto" w:line="240" w:before="57" w:after="57"/>
        <w:ind w:left="624" w:right="907" w:hanging="0"/>
        <w:jc w:val="both"/>
        <w:rPr>
          <w:rFonts w:ascii="Arial" w:hAnsi="Arial" w:eastAsia="Arial Unicode MS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</w:r>
    </w:p>
    <w:p>
      <w:pPr>
        <w:pStyle w:val="Cuerpodetexto"/>
        <w:widowControl w:val="false"/>
        <w:suppressAutoHyphens w:val="true"/>
        <w:bidi w:val="0"/>
        <w:spacing w:lineRule="auto" w:line="240" w:before="57" w:after="57"/>
        <w:ind w:left="624" w:right="907" w:hanging="0"/>
        <w:jc w:val="both"/>
        <w:rPr>
          <w:rFonts w:ascii="Arial" w:hAnsi="Arial" w:eastAsia="Arial Unicode MS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3. Aplicar repelentes en la piel expuesta (hombros, brazos, piernas) o sobre la ropa, sobre todo, durante las horas del día, cuando este zancudo es más activo.</w:t>
      </w:r>
    </w:p>
    <w:p>
      <w:pPr>
        <w:pStyle w:val="Cuerpodetexto"/>
        <w:widowControl w:val="false"/>
        <w:suppressAutoHyphens w:val="true"/>
        <w:bidi w:val="0"/>
        <w:spacing w:lineRule="auto" w:line="240" w:before="57" w:after="57"/>
        <w:ind w:left="624" w:right="907" w:hanging="0"/>
        <w:jc w:val="both"/>
        <w:rPr>
          <w:rFonts w:ascii="Arial" w:hAnsi="Arial" w:eastAsia="Arial Unicode MS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</w:r>
    </w:p>
    <w:p>
      <w:pPr>
        <w:pStyle w:val="Cuerpodetexto"/>
        <w:widowControl w:val="false"/>
        <w:suppressAutoHyphens w:val="true"/>
        <w:bidi w:val="0"/>
        <w:spacing w:lineRule="auto" w:line="240" w:before="57" w:after="57"/>
        <w:ind w:left="624" w:right="907" w:hanging="0"/>
        <w:jc w:val="both"/>
        <w:rPr>
          <w:rFonts w:ascii="Arial" w:hAnsi="Arial" w:eastAsia="Arial Unicode MS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4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. Si una persona es diagnosticada con dengue, debe dormir bajo la protección del toldillo (mosquitero), para evitar que otros mosquitos se infecten y puedan transmitir el virus a personas sanas. Esto, especialmente para aquellas personas que duermen en horas del día (Niños, mujeres embarazadas, personas con postración en cama y trabajadores de horario nocturno).</w:t>
      </w:r>
    </w:p>
    <w:p>
      <w:pPr>
        <w:pStyle w:val="Cuerpodetexto"/>
        <w:widowControl w:val="false"/>
        <w:suppressAutoHyphens w:val="true"/>
        <w:bidi w:val="0"/>
        <w:spacing w:lineRule="auto" w:line="288" w:before="0" w:after="0"/>
        <w:ind w:left="624" w:right="907" w:hanging="0"/>
        <w:jc w:val="both"/>
        <w:rPr>
          <w:rFonts w:eastAsia="Arial" w:cs="Arial"/>
          <w:b w:val="false"/>
          <w:i w:val="false"/>
          <w:outline w:val="false"/>
          <w:shadow w:val="false"/>
          <w:em w:val="none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FFFFFF" w:val="clear"/>
          <w:lang w:bidi="ar-SA"/>
        </w:rPr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ffect w:val="none"/>
          <w:shd w:fill="FFFFFF" w:val="clear"/>
          <w:em w:val="none"/>
          <w:lang w:bidi="ar-SA"/>
        </w:rPr>
        <w:t>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ffect w:val="none"/>
          <w:shd w:fill="FFFFFF" w:val="clear"/>
          <w:em w:val="none"/>
          <w:lang w:bidi="ar-SA"/>
        </w:rPr>
        <w:t>tro aspecto a considerar es que, en Santiago de Cali existen otros mosquitos  hematófagos, es decir, que se alimentan de sangre, como el zancudo común o el jején, pero cuya picadura no transmite ningún agente infeccioso que pueda causar una  enfermedad. Además, durante algunas épocas del año, pueden llegar a ser muy  abundantes en algunos sectores de la ciudad y ocasionar molestias por su picadura. Para  su control se recomienda usar barreras mecánicas como mallas en las ventanas, toldillo  para dormir, aplicar repelente y usar prendas de vestir que cubran brazos y piernas.</w:t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Con lo anterior se da respuesta a su solicitud, no obstante, estaremos atentos en caso de requerir información adicional.</w:t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Anexos: (pdf) Cartilla Docentes Ministerio de Salud y otros. </w:t>
      </w:r>
    </w:p>
    <w:p>
      <w:pPr>
        <w:pStyle w:val="NormalWeb"/>
        <w:spacing w:beforeAutospacing="0" w:before="0" w:after="0"/>
        <w:rPr>
          <w:rFonts w:ascii="Arial" w:hAnsi="Arial" w:cs="Arial"/>
          <w:sz w:val="16"/>
          <w:szCs w:val="16"/>
          <w:lang w:val="es-ES"/>
        </w:rPr>
      </w:pPr>
      <w:r>
        <w:rPr/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Proyectó: Clara</w:t>
      </w:r>
      <w:r>
        <w:rPr>
          <w:rFonts w:cs="Arial" w:ascii="Arial" w:hAnsi="Arial"/>
          <w:sz w:val="16"/>
          <w:szCs w:val="16"/>
          <w:lang w:val="es-ES"/>
        </w:rPr>
        <w:t xml:space="preserve"> Inés Solis Sandoval –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Elaboró: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 – Contratista 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52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52" w:after="0"/>
        <w:jc w:val="both"/>
        <w:rPr/>
      </w:pPr>
      <w:hyperlink r:id="rId3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hyperlink r:id="rId5" w:tgtFrame="_blank">
        <w:r>
          <w:drawing>
            <wp:anchor behindDoc="0" distT="0" distB="0" distL="0" distR="0" simplePos="0" locked="0" layoutInCell="0" allowOverlap="1" relativeHeight="15">
              <wp:simplePos x="0" y="0"/>
              <wp:positionH relativeFrom="margin">
                <wp:posOffset>-635</wp:posOffset>
              </wp:positionH>
              <wp:positionV relativeFrom="paragraph">
                <wp:posOffset>52070</wp:posOffset>
              </wp:positionV>
              <wp:extent cx="563245" cy="565785"/>
              <wp:effectExtent l="0" t="0" r="0" b="0"/>
              <wp:wrapNone/>
              <wp:docPr id="2" name="Imagen 2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n 2" descr=""/>
                      <pic:cNvPicPr>
                        <a:picLocks noChangeAspect="1" noChangeArrowheads="1"/>
                      </pic:cNvPicPr>
                    </pic:nvPicPr>
                    <pic:blipFill>
                      <a:blip r:embed="rId4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3245" cy="5657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Style w:val="EnlacedeInternet"/>
            <w:rFonts w:cs="Arial" w:ascii="Arial" w:hAnsi="Arial"/>
            <w:color w:val="FFFFFF"/>
            <w:sz w:val="16"/>
            <w:szCs w:val="16"/>
            <w:shd w:fill="FFFFFF" w:val="clear"/>
          </w:rPr>
          <w:t>h</w:t>
        </w:r>
        <w:r>
          <w:rPr>
            <w:rStyle w:val="EnlacedeInternet"/>
            <w:rFonts w:cs="Arial" w:ascii="Arial" w:hAnsi="Arial"/>
            <w:color w:val="FFFFFF"/>
            <w:sz w:val="16"/>
            <w:szCs w:val="16"/>
            <w:shd w:fill="FFFFFF" w:val="clear"/>
          </w:rPr>
          <w:t>ttp://www.c</w:t>
        </w:r>
      </w:hyperlink>
    </w:p>
    <w:sectPr>
      <w:headerReference w:type="default" r:id="rId6"/>
      <w:footerReference w:type="default" r:id="rId7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altName w:val="sans-serif"/>
    <w:charset w:val="00"/>
    <w:family w:val="auto"/>
    <w:pitch w:val="default"/>
  </w:font>
  <w:font w:name="Arial">
    <w:charset w:val="01"/>
    <w:family w:val="swiss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4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19050</wp:posOffset>
          </wp:positionH>
          <wp:positionV relativeFrom="paragraph">
            <wp:posOffset>36830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11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*202541450200013141*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202541450200013141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2025-02-21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4145.020.13.1.953.001314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202441450100064602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*202541450200013141*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202541450200013141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2025-02-21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4145.020.13.1.953.001314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202441450100064602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image" Target="media/image2.png"/><Relationship Id="rId5" Type="http://schemas.openxmlformats.org/officeDocument/2006/relationships/hyperlink" Target="http://www.cali.gov.co/aplicaciones/encuestas_ciudadano/view_encuesta_satisfaccion.php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Application>LibreOffice/7.0.3.1$Windows_X86_64 LibreOffice_project/d7547858d014d4cf69878db179d326fc3483e082</Application>
  <Pages>3</Pages>
  <Words>735</Words>
  <Characters>4250</Characters>
  <CharactersWithSpaces>4967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2025-02-21T18:37:29Z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